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0540A3">
        <w:rPr>
          <w:b/>
          <w:sz w:val="22"/>
          <w:szCs w:val="22"/>
        </w:rPr>
        <w:t>19 października</w:t>
      </w:r>
      <w:r w:rsidR="00506AC8">
        <w:rPr>
          <w:b/>
          <w:sz w:val="22"/>
          <w:szCs w:val="22"/>
        </w:rPr>
        <w:t xml:space="preserve">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031151" w:rsidRPr="00031151" w:rsidRDefault="00A46E7D" w:rsidP="00031151">
      <w:pPr>
        <w:jc w:val="both"/>
        <w:rPr>
          <w:b/>
          <w:bCs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031151" w:rsidRPr="00031151">
        <w:rPr>
          <w:b/>
          <w:bCs/>
          <w:sz w:val="22"/>
          <w:szCs w:val="22"/>
        </w:rPr>
        <w:t>zaopiniowanie możliwości wydania decyzji o warunka</w:t>
      </w:r>
      <w:bookmarkStart w:id="0" w:name="_GoBack"/>
      <w:bookmarkEnd w:id="0"/>
      <w:r w:rsidR="00031151" w:rsidRPr="00031151">
        <w:rPr>
          <w:b/>
          <w:bCs/>
          <w:sz w:val="22"/>
          <w:szCs w:val="22"/>
        </w:rPr>
        <w:t xml:space="preserve">ch zabudowy </w:t>
      </w:r>
      <w:r w:rsidR="00031151">
        <w:rPr>
          <w:b/>
          <w:bCs/>
          <w:sz w:val="22"/>
          <w:szCs w:val="22"/>
        </w:rPr>
        <w:br/>
      </w:r>
      <w:r w:rsidR="00031151" w:rsidRPr="00031151">
        <w:rPr>
          <w:b/>
          <w:bCs/>
          <w:sz w:val="22"/>
          <w:szCs w:val="22"/>
        </w:rPr>
        <w:t xml:space="preserve">AR-P.6730.614.2023.JB2: 10 budynków mieszkalnych jednorodzinnych w zabudowie szeregowej na działce nr16/13 </w:t>
      </w:r>
      <w:proofErr w:type="spellStart"/>
      <w:r w:rsidR="00031151" w:rsidRPr="00031151">
        <w:rPr>
          <w:b/>
          <w:bCs/>
          <w:sz w:val="22"/>
          <w:szCs w:val="22"/>
        </w:rPr>
        <w:t>obr</w:t>
      </w:r>
      <w:proofErr w:type="spellEnd"/>
      <w:r w:rsidR="00031151" w:rsidRPr="00031151">
        <w:rPr>
          <w:b/>
          <w:bCs/>
          <w:sz w:val="22"/>
          <w:szCs w:val="22"/>
        </w:rPr>
        <w:t>. 226 w Rzeszowie przy ul. Myśliwskiej.</w:t>
      </w:r>
    </w:p>
    <w:p w:rsidR="00A46E7D" w:rsidRPr="00E16AAE" w:rsidRDefault="00A46E7D" w:rsidP="002507B9">
      <w:pPr>
        <w:spacing w:line="276" w:lineRule="auto"/>
        <w:jc w:val="both"/>
        <w:rPr>
          <w:b/>
          <w:sz w:val="22"/>
          <w:szCs w:val="22"/>
        </w:rPr>
      </w:pP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335387" w:rsidRDefault="00AD72E0" w:rsidP="00335387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>Miejska Komisja Urbanistycz</w:t>
      </w:r>
      <w:r w:rsidR="00096654">
        <w:rPr>
          <w:szCs w:val="22"/>
        </w:rPr>
        <w:t>n</w:t>
      </w:r>
      <w:r>
        <w:rPr>
          <w:szCs w:val="22"/>
        </w:rPr>
        <w:t xml:space="preserve">o-Architektoniczna rekomenduje </w:t>
      </w:r>
      <w:r w:rsidR="00031151" w:rsidRPr="00B903A0">
        <w:rPr>
          <w:szCs w:val="22"/>
        </w:rPr>
        <w:t xml:space="preserve">skorygowanie wskaźników w decyzji o warunkach zabudowy i doprowadzenie ich do zgodności ze „wskaźnikami dla zabudowy szeregowej” opracowanymi przez MKUA </w:t>
      </w:r>
      <w:r>
        <w:rPr>
          <w:szCs w:val="22"/>
        </w:rPr>
        <w:t>dla zabudowy szeregowej:</w:t>
      </w:r>
    </w:p>
    <w:p w:rsidR="00031151" w:rsidRDefault="00031151" w:rsidP="00335387">
      <w:pPr>
        <w:pStyle w:val="Akapitzlist"/>
        <w:spacing w:after="0"/>
        <w:jc w:val="both"/>
        <w:rPr>
          <w:szCs w:val="22"/>
        </w:rPr>
      </w:pPr>
    </w:p>
    <w:p w:rsidR="00AD72E0" w:rsidRPr="00031151" w:rsidRDefault="00AD72E0" w:rsidP="00031151">
      <w:pPr>
        <w:pStyle w:val="Akapitzlist"/>
        <w:spacing w:after="0"/>
        <w:ind w:left="284" w:hanging="284"/>
        <w:jc w:val="both"/>
        <w:rPr>
          <w:szCs w:val="22"/>
        </w:rPr>
      </w:pPr>
      <w:r w:rsidRPr="00AD72E0">
        <w:rPr>
          <w:szCs w:val="22"/>
        </w:rPr>
        <w:t>1.</w:t>
      </w:r>
      <w:r w:rsidR="00031151">
        <w:rPr>
          <w:szCs w:val="22"/>
        </w:rPr>
        <w:t xml:space="preserve"> </w:t>
      </w:r>
      <w:r w:rsidRPr="00AD72E0">
        <w:rPr>
          <w:szCs w:val="22"/>
        </w:rPr>
        <w:t>Udział powierzchni biologicznie czynnej w stosunku do powierzchni terenu inwestycji:</w:t>
      </w:r>
    </w:p>
    <w:p w:rsidR="00AD72E0" w:rsidRPr="00AD72E0" w:rsidRDefault="00AD72E0" w:rsidP="00AD72E0">
      <w:pPr>
        <w:pStyle w:val="Akapitzlist"/>
        <w:spacing w:after="0"/>
        <w:ind w:left="142"/>
        <w:jc w:val="both"/>
        <w:rPr>
          <w:szCs w:val="22"/>
        </w:rPr>
      </w:pPr>
      <w:r w:rsidRPr="00AD72E0">
        <w:rPr>
          <w:szCs w:val="22"/>
        </w:rPr>
        <w:t>- strefa C – Ekologiczna - 50%</w:t>
      </w:r>
    </w:p>
    <w:p w:rsidR="00AD72E0" w:rsidRPr="00AD72E0" w:rsidRDefault="00031151" w:rsidP="00AD72E0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>2. S</w:t>
      </w:r>
      <w:r w:rsidRPr="00B903A0">
        <w:rPr>
          <w:szCs w:val="22"/>
        </w:rPr>
        <w:t>zerokość elewacji frontowej pojedynczego segmentu - 6,8</w:t>
      </w:r>
      <w:r>
        <w:rPr>
          <w:szCs w:val="22"/>
        </w:rPr>
        <w:t xml:space="preserve"> m</w:t>
      </w:r>
      <w:r w:rsidRPr="00B903A0">
        <w:rPr>
          <w:szCs w:val="22"/>
        </w:rPr>
        <w:t xml:space="preserve"> +/- 20%</w:t>
      </w:r>
      <w:r>
        <w:rPr>
          <w:szCs w:val="22"/>
        </w:rPr>
        <w:t xml:space="preserve">, </w:t>
      </w:r>
      <w:r w:rsidRPr="00B903A0">
        <w:rPr>
          <w:szCs w:val="22"/>
        </w:rPr>
        <w:t>przy zachowaniu przedstawionej we wniosku liczby segmentów</w:t>
      </w:r>
      <w:r>
        <w:rPr>
          <w:szCs w:val="22"/>
        </w:rPr>
        <w:t>-</w:t>
      </w:r>
      <w:r w:rsidRPr="00B903A0">
        <w:rPr>
          <w:szCs w:val="22"/>
        </w:rPr>
        <w:t xml:space="preserve"> max. 4</w:t>
      </w:r>
      <w:r>
        <w:rPr>
          <w:szCs w:val="22"/>
        </w:rPr>
        <w:t>.</w:t>
      </w:r>
    </w:p>
    <w:p w:rsidR="00AD72E0" w:rsidRPr="00AD72E0" w:rsidRDefault="00031151" w:rsidP="00031151">
      <w:pPr>
        <w:pStyle w:val="Akapitzlist"/>
        <w:spacing w:after="0"/>
        <w:jc w:val="both"/>
        <w:rPr>
          <w:szCs w:val="22"/>
        </w:rPr>
      </w:pPr>
      <w:r>
        <w:rPr>
          <w:szCs w:val="22"/>
        </w:rPr>
        <w:t>3</w:t>
      </w:r>
      <w:r w:rsidR="00AD72E0" w:rsidRPr="00AD72E0">
        <w:rPr>
          <w:szCs w:val="22"/>
        </w:rPr>
        <w:t xml:space="preserve">. </w:t>
      </w:r>
      <w:r>
        <w:rPr>
          <w:szCs w:val="22"/>
        </w:rPr>
        <w:t>Wysokość elewacji frontowej- 9,5 m.</w:t>
      </w:r>
    </w:p>
    <w:p w:rsidR="00AD72E0" w:rsidRDefault="00AD72E0" w:rsidP="00335387">
      <w:pPr>
        <w:pStyle w:val="Akapitzlist"/>
        <w:spacing w:after="0"/>
        <w:jc w:val="both"/>
        <w:rPr>
          <w:szCs w:val="22"/>
        </w:rPr>
      </w:pP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Przewodniczący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A655B3" w:rsidP="002F69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655B3" w:rsidRDefault="00A655B3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2507B9">
                              <w:rPr>
                                <w:sz w:val="22"/>
                                <w:szCs w:val="22"/>
                              </w:rPr>
                              <w:t>Maciej Trybus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Przewodniczący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A655B3" w:rsidP="002F6975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655B3" w:rsidRDefault="00A655B3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2507B9">
                        <w:rPr>
                          <w:sz w:val="22"/>
                          <w:szCs w:val="22"/>
                        </w:rPr>
                        <w:t>Maciej Trybus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D2" w:rsidRDefault="009441D2">
      <w:r>
        <w:separator/>
      </w:r>
    </w:p>
  </w:endnote>
  <w:endnote w:type="continuationSeparator" w:id="0">
    <w:p w:rsidR="009441D2" w:rsidRDefault="0094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D2" w:rsidRDefault="009441D2">
      <w:r>
        <w:separator/>
      </w:r>
    </w:p>
  </w:footnote>
  <w:footnote w:type="continuationSeparator" w:id="0">
    <w:p w:rsidR="009441D2" w:rsidRDefault="0094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1151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0A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96654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07B9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5EA4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321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410B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1700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41D2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2E0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3791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703B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DDBC-3156-4B4F-8716-AF3248F2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Łapka Ludmiła</cp:lastModifiedBy>
  <cp:revision>3</cp:revision>
  <cp:lastPrinted>2022-07-15T10:14:00Z</cp:lastPrinted>
  <dcterms:created xsi:type="dcterms:W3CDTF">2023-10-26T11:25:00Z</dcterms:created>
  <dcterms:modified xsi:type="dcterms:W3CDTF">2023-10-26T11:32:00Z</dcterms:modified>
</cp:coreProperties>
</file>